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1F47" w14:textId="77777777" w:rsidR="00147845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C01B5A8" wp14:editId="48A2C3D3">
            <wp:extent cx="1161136" cy="5543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136" cy="55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949120" w14:textId="77777777" w:rsidR="00147845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Ficha de Trabajo: Análisis de video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45532764" w14:textId="3E65F7D4" w:rsidR="00147845" w:rsidRDefault="003C4514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5" w:lineRule="auto"/>
        <w:ind w:left="3" w:right="-1" w:firstLine="1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La intención de esta guía es que puedan comprender de mejor manera los procesos y elementos principales de la metodología de Indagación Colaborativa. La actividad contempla la visualización de un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video, sobre un ciclo de indagación que es realizado por un</w:t>
      </w:r>
      <w:r>
        <w:rPr>
          <w:rFonts w:ascii="Calibri" w:eastAsia="Calibri" w:hAnsi="Calibri" w:cs="Calibri"/>
          <w:color w:val="000000"/>
          <w:sz w:val="19"/>
          <w:szCs w:val="19"/>
        </w:rPr>
        <w:t>a sola escuela. Nuestra intención en este curso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es que podamos generar este proceso de indagación colaborativa en red entre diversas escuelas, para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abordar juntos y juntas un desafío común. </w:t>
      </w:r>
    </w:p>
    <w:p w14:paraId="68E15715" w14:textId="77777777" w:rsidR="003C4514" w:rsidRPr="003C4514" w:rsidRDefault="003C4514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5" w:lineRule="auto"/>
        <w:ind w:left="3" w:right="-1" w:firstLine="13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tbl>
      <w:tblPr>
        <w:tblStyle w:val="a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</w:tblGrid>
      <w:tr w:rsidR="00147845" w14:paraId="2D3E2E5E" w14:textId="77777777">
        <w:trPr>
          <w:trHeight w:val="5717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EE36" w14:textId="77777777" w:rsidR="00147845" w:rsidRDefault="003C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u w:val="single"/>
              </w:rPr>
              <w:t xml:space="preserve">Elementos para considerar sobre la indagación colaborativa en red: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14:paraId="7E316102" w14:textId="30B638FF" w:rsidR="00147845" w:rsidRDefault="003C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4" w:lineRule="auto"/>
              <w:ind w:left="410" w:right="62" w:hanging="281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 indagación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colaborativa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 busca evaluar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ni menos emitir un juicio respecto al desempeño. De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hecho,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juicios evaluativos entorpecen los procesos de indagación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dado que suelen paralizar los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procesos de reflexión y aprendizaje profundo.  </w:t>
            </w:r>
          </w:p>
          <w:p w14:paraId="4763904C" w14:textId="15654E19" w:rsidR="00147845" w:rsidRDefault="003C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44" w:lineRule="auto"/>
              <w:ind w:left="404" w:right="58" w:hanging="28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2. La indagación colaborativa se realiza mediante un proceso cíclico, donde se identifican desafíos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compartidos, se r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ealizan acciones como la indagación en conjunto y se reflexiona sobre los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resultados de estas acciones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DeLuca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et al. 2015; Nelson et al. 2010). La indagación colaborativa es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un proceso cíclico y en constante desarrollo.  </w:t>
            </w:r>
          </w:p>
          <w:p w14:paraId="51A39624" w14:textId="6AFB5D2D" w:rsidR="00147845" w:rsidRDefault="003C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52" w:lineRule="auto"/>
              <w:ind w:left="401" w:right="58" w:hanging="278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3. Privilegia la construcción de conocimientos situados y conducidos por parte de los propios agentes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educativos. </w:t>
            </w:r>
            <w:r>
              <w:rPr>
                <w:color w:val="00000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 muy relevante que las preguntas que movilizan la indagación colaborativa sean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generadas por los propios participantes, de modo de garanti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zar que sean sus intereses los que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primen en este proceso de investigación (Anderson 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Herr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2007).  </w:t>
            </w:r>
          </w:p>
          <w:p w14:paraId="0BC3B773" w14:textId="540B8F0A" w:rsidR="00147845" w:rsidRDefault="003C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44" w:lineRule="auto"/>
              <w:ind w:left="404" w:right="61" w:hanging="287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4. Se valora la intuición y juicios de los docentes y directivos para producir información a fin de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reflexionar sobre la misma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Noffke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, 1995). Por ello,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esta metodología exige que quienes asumen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roles de acompañamiento y apoyo valoren el conocimiento de los profesores y directivos, para que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este proceso permita el desarrollo de sus aprendizajes profesionales (Ainscow et al. 2016). </w:t>
            </w:r>
          </w:p>
          <w:p w14:paraId="6E617E7B" w14:textId="2E92C5C9" w:rsidR="00147845" w:rsidRDefault="003C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44" w:lineRule="auto"/>
              <w:ind w:left="404" w:right="66" w:hanging="282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5. Para realizar un c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iclo de indagación colaborativa se requieren dos condiciones elementales: (i) un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compromiso a trabajar en conjunto entre diferentes personas y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) un involucramiento de estas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personas con el propósito por el cual están colaborando.</w:t>
            </w:r>
          </w:p>
        </w:tc>
      </w:tr>
    </w:tbl>
    <w:p w14:paraId="4585A563" w14:textId="77777777" w:rsidR="00147845" w:rsidRDefault="00147845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FE3B5B" w14:textId="77777777" w:rsidR="003C4514" w:rsidRDefault="003C4514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Actividad: Observación y análisis de un video.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1FFB1D4" w14:textId="77777777" w:rsidR="003C4514" w:rsidRDefault="003C4514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color w:val="000000"/>
          <w:sz w:val="19"/>
          <w:szCs w:val="19"/>
        </w:rPr>
      </w:pPr>
    </w:p>
    <w:p w14:paraId="6DDF5A64" w14:textId="4FBA87FC" w:rsidR="00147845" w:rsidRPr="003C4514" w:rsidRDefault="003C4514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Las siguientes preguntas podrán guiar la observación del video (Caso de Indagación Colaborativa) para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que puedan identificar las tres fases de la indagación colaborativa en red: desafíos comunas, indagación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y acción, monitoreo y reflexión: </w:t>
      </w:r>
    </w:p>
    <w:p w14:paraId="2C9B9FEC" w14:textId="77777777" w:rsidR="00147845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36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a) ¿Cuál es l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 pregunta de indagación? </w:t>
      </w:r>
    </w:p>
    <w:p w14:paraId="6952E24B" w14:textId="77777777" w:rsidR="00147845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7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b) ¿Qué acciones se realizaron? </w:t>
      </w:r>
    </w:p>
    <w:p w14:paraId="2BC054FA" w14:textId="77777777" w:rsidR="00147845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c) ¿Cómo se han monitoreado las acciones? </w:t>
      </w:r>
    </w:p>
    <w:p w14:paraId="0C88CCB8" w14:textId="77777777" w:rsidR="00147845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d) ¿Qué principios o valores permitieron a los profesores realizar estas acciones? ¿Por qué? </w:t>
      </w:r>
    </w:p>
    <w:p w14:paraId="16BB9689" w14:textId="77777777" w:rsidR="003C4514" w:rsidRPr="003C4514" w:rsidRDefault="003C4514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 w:line="240" w:lineRule="auto"/>
        <w:rPr>
          <w:rFonts w:ascii="Calibri" w:eastAsia="Calibri" w:hAnsi="Calibri" w:cs="Calibri"/>
          <w:i/>
          <w:sz w:val="18"/>
          <w:szCs w:val="18"/>
        </w:rPr>
      </w:pPr>
      <w:r w:rsidRPr="003C4514">
        <w:rPr>
          <w:rFonts w:ascii="Calibri" w:eastAsia="Calibri" w:hAnsi="Calibri" w:cs="Calibri"/>
          <w:i/>
          <w:color w:val="000000"/>
          <w:sz w:val="18"/>
          <w:szCs w:val="18"/>
        </w:rPr>
        <w:t xml:space="preserve">(No es requisito que usted escriba sus respuestas, pero por favor tenerlas presentes para el próximo taller) </w:t>
      </w:r>
    </w:p>
    <w:p w14:paraId="150143BC" w14:textId="77777777" w:rsidR="003C4514" w:rsidRDefault="003C4514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00337229" w14:textId="7E1C0BE5" w:rsidR="00147845" w:rsidRPr="003C4514" w:rsidRDefault="003C4514" w:rsidP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En la próxima sesión iniciaremos la fase 1: Identifi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cación de desafíos comunes. Por ello, es importante que </w:t>
      </w:r>
      <w:r>
        <w:rPr>
          <w:rFonts w:ascii="Calibri" w:eastAsia="Calibri" w:hAnsi="Calibri" w:cs="Calibri"/>
          <w:color w:val="000000"/>
          <w:sz w:val="19"/>
          <w:szCs w:val="19"/>
        </w:rPr>
        <w:t>reflexione acerca de los desafíos más importantes que le gustaría indagar con otras escuelas, utilizando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esta metodología.  </w:t>
      </w:r>
    </w:p>
    <w:p w14:paraId="50AF357B" w14:textId="6C903A5E" w:rsidR="00147845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63" w:lineRule="auto"/>
        <w:ind w:left="4" w:right="-6" w:firstLine="1"/>
        <w:jc w:val="both"/>
        <w:rPr>
          <w:rFonts w:ascii="Calibri" w:eastAsia="Calibri" w:hAnsi="Calibri" w:cs="Calibri"/>
          <w:b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Si desea profundizar sobre la metodología, puede revisar el documento detallado a continuación y que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se encuentra en el Módulo 0 de la Plataforma Escuelas Chile: </w:t>
      </w: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Pino, M., González, A. y Ahumada, L.  (2018). Indagación colaborativa: Elementos teóricos y prácticos para su uso en redes educativas.  Informe Técnico </w:t>
      </w:r>
      <w:proofErr w:type="spellStart"/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>Nº</w:t>
      </w:r>
      <w:proofErr w:type="spellEnd"/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 4. LIDERES EDUCATIVOS, Centro de Lide</w:t>
      </w: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>razgo para la Mejora Escolar: Valparaíso,</w:t>
      </w: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 Chile.</w:t>
      </w:r>
    </w:p>
    <w:p w14:paraId="741C1564" w14:textId="77777777" w:rsidR="003C4514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63" w:lineRule="auto"/>
        <w:ind w:left="4" w:right="-6" w:firstLine="1"/>
        <w:jc w:val="both"/>
        <w:rPr>
          <w:rFonts w:ascii="Calibri" w:eastAsia="Calibri" w:hAnsi="Calibri" w:cs="Calibri"/>
          <w:b/>
          <w:i/>
          <w:color w:val="000000"/>
          <w:sz w:val="19"/>
          <w:szCs w:val="19"/>
        </w:rPr>
      </w:pPr>
    </w:p>
    <w:p w14:paraId="6CA39E6D" w14:textId="6EEA8702" w:rsidR="00147845" w:rsidRDefault="003C45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right="295"/>
        <w:jc w:val="right"/>
        <w:rPr>
          <w:rFonts w:ascii="Calibri" w:eastAsia="Calibri" w:hAnsi="Calibri" w:cs="Calibri"/>
          <w:b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noProof/>
          <w:color w:val="00000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5867836B" wp14:editId="364A56CF">
            <wp:simplePos x="0" y="0"/>
            <wp:positionH relativeFrom="page">
              <wp:align>center</wp:align>
            </wp:positionH>
            <wp:positionV relativeFrom="paragraph">
              <wp:posOffset>137795</wp:posOffset>
            </wp:positionV>
            <wp:extent cx="4914900" cy="5613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61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47845">
      <w:pgSz w:w="11900" w:h="16820"/>
      <w:pgMar w:top="360" w:right="1654" w:bottom="333" w:left="17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45"/>
    <w:rsid w:val="00147845"/>
    <w:rsid w:val="003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C6D4"/>
  <w15:docId w15:val="{511C89E8-7CEA-4B64-9B5C-FD25E17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De Ferari</dc:creator>
  <cp:lastModifiedBy>María Josefina De Ferari Prats (maria.deferari)</cp:lastModifiedBy>
  <cp:revision>2</cp:revision>
  <dcterms:created xsi:type="dcterms:W3CDTF">2021-05-25T20:53:00Z</dcterms:created>
  <dcterms:modified xsi:type="dcterms:W3CDTF">2021-05-25T20:53:00Z</dcterms:modified>
</cp:coreProperties>
</file>